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027535.xml.htm"/>
      <w:bookmarkStart w:id="1" w:name="kswkform4_179002753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Schlossman Robert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ZSCALER,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 HOLGER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Zscaler,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ZS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Legal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15"/>
        <w:gridCol w:w="904"/>
        <w:gridCol w:w="774"/>
        <w:gridCol w:w="600"/>
        <w:gridCol w:w="349"/>
        <w:gridCol w:w="846"/>
        <w:gridCol w:w="454"/>
        <w:gridCol w:w="627"/>
        <w:gridCol w:w="1163"/>
        <w:gridCol w:w="998"/>
        <w:gridCol w:w="107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5,394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200</w:t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61,525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Commom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</w:t>
            </w:r>
          </w:p>
        </w:tc>
        <w:tc>
          <w:tcPr>
            <w:tcW w:w="9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 reported in this Form 4 was effected pursuant to a Rule 10b5-1 trading plan adopted on July 3,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are held directly by the reporting person's spouse.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Torrie Nute,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435941" TargetMode="External"/><Relationship Id="rId5" Type="http://schemas.openxmlformats.org/officeDocument/2006/relationships/hyperlink" Target="http://www.sec.gov/cgi-bin/browse-edgar?action=getcompany&amp;CIK=00017136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607</Words>
  <Characters>3250</Characters>
  <CharactersWithSpaces>3783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